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1"/>
      </w:pPr>
      <w:r>
        <w:rPr>
          <w:rFonts w:hAnsi="Times New Roman" w:cs="Times New Roman"/>
        </w:rPr>
        <w:t xml:space="preserve">OBRAZLOŽENJE OPĆEG DIJELA FINANCIJSKOG PLANA</w:t>
      </w:r>
    </w:p>
    <w:p>
      <w:pPr>
        <w:jc w:val="left"/>
        <w:pStyle w:val="Heading2"/>
      </w:pPr>
      <w:r>
        <w:rPr>
          <w:rFonts w:hAnsi="Times New Roman" w:cs="Times New Roman"/>
        </w:rPr>
        <w:t xml:space="preserve">02042 Ured za protokol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PRIHODI I PRIMICI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razdoblje 2026-2028 Ured za protokol planira ostvarenje prihoda iz izvora financiranja te u iznosima kako slijedi: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u okviru izvora financiranja 11 Opći prihodi i primici: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67111 Prihodi iz nadležnog proračuna za financiranje rashoda poslovanja: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732.081,00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736.677,00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738.479,00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67121 Prihodi iz nadležnog proračuna za financiranje rashoda za nabavu nefinancijske imovine: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9.500,00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9.500,00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9.500,00 eura.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RASHODI I IZDACI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Ukupno planirani rashodi odnose se na obavljanje stručnih, organizacijskih i tehničkih poslova protokola za potrebe Vlade Republike Hrvatske, predsjednika Vlade Republike Hrvatske te potpredsjednika Vlade Republike Hrvatske.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I DOSPJELE OBVEZE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eurima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	                                             Stanje obveza na dan 31.12.2024.	     Stanje obveza na dan 30.06.2025.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obveze	                                                           19.773,70 	                                    30.193,08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Dospjele obveze                                                                       	-	                                                -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